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6A79" w:rsidRPr="00344D92" w:rsidRDefault="00F66A79" w:rsidP="00F66A79">
      <w:pPr>
        <w:pStyle w:val="NoSpacing"/>
        <w:rPr>
          <w:sz w:val="24"/>
        </w:rPr>
      </w:pPr>
      <w:r w:rsidRPr="00344D92">
        <w:rPr>
          <w:sz w:val="24"/>
        </w:rPr>
        <w:t>Bacteria → Gm+ → Rod → Aerobe → Pseudomonas</w:t>
      </w:r>
    </w:p>
    <w:p w:rsidR="00344D92" w:rsidRDefault="00344D92" w:rsidP="00344D92">
      <w:pPr>
        <w:pStyle w:val="NoSpacing"/>
      </w:pPr>
    </w:p>
    <w:p w:rsidR="00F66A79" w:rsidRPr="00344D92" w:rsidRDefault="00F66A79" w:rsidP="00344D92">
      <w:pPr>
        <w:pStyle w:val="NoSpacing"/>
        <w:rPr>
          <w:b/>
        </w:rPr>
      </w:pPr>
      <w:r w:rsidRPr="00344D92">
        <w:rPr>
          <w:b/>
        </w:rPr>
        <w:t>Pseudomonas aeruginosa</w:t>
      </w:r>
    </w:p>
    <w:p w:rsidR="00F66A79" w:rsidRDefault="00F66A79" w:rsidP="00344D92">
      <w:pPr>
        <w:pStyle w:val="NoSpacing"/>
        <w:numPr>
          <w:ilvl w:val="0"/>
          <w:numId w:val="1"/>
        </w:numPr>
      </w:pPr>
      <w:r>
        <w:t>Gm- | Lactose/glucose non-fermenter (can grow in lack of O2 if NO3 is available) | Oxidase +</w:t>
      </w:r>
    </w:p>
    <w:p w:rsidR="00F66A79" w:rsidRDefault="00F66A79" w:rsidP="00344D92">
      <w:pPr>
        <w:pStyle w:val="NoSpacing"/>
        <w:numPr>
          <w:ilvl w:val="0"/>
          <w:numId w:val="1"/>
        </w:numPr>
      </w:pPr>
      <w:r>
        <w:t>Hemolytic | Motile (via 1 flagellum)</w:t>
      </w:r>
    </w:p>
    <w:p w:rsidR="00E707B7" w:rsidRDefault="00E707B7" w:rsidP="00344D92">
      <w:pPr>
        <w:pStyle w:val="NoSpacing"/>
        <w:numPr>
          <w:ilvl w:val="0"/>
          <w:numId w:val="1"/>
        </w:numPr>
      </w:pPr>
      <w:r>
        <w:t>Nocosomial pathogen | Yellow-green mucous</w:t>
      </w:r>
    </w:p>
    <w:p w:rsidR="00E707B7" w:rsidRDefault="00E707B7" w:rsidP="00344D92">
      <w:pPr>
        <w:pStyle w:val="NoSpacing"/>
        <w:numPr>
          <w:ilvl w:val="0"/>
          <w:numId w:val="1"/>
        </w:numPr>
      </w:pPr>
      <w:r>
        <w:t>Ubiquitous in soil/H2O + part of normal human flora</w:t>
      </w:r>
    </w:p>
    <w:p w:rsidR="00E707B7" w:rsidRDefault="00E707B7" w:rsidP="00344D92">
      <w:pPr>
        <w:pStyle w:val="NoSpacing"/>
        <w:numPr>
          <w:ilvl w:val="0"/>
          <w:numId w:val="1"/>
        </w:numPr>
      </w:pPr>
      <w:r>
        <w:t>High tolerance to variety of physical conditions</w:t>
      </w:r>
    </w:p>
    <w:p w:rsidR="00E707B7" w:rsidRDefault="00E707B7" w:rsidP="00344D92">
      <w:pPr>
        <w:pStyle w:val="NoSpacing"/>
        <w:numPr>
          <w:ilvl w:val="0"/>
          <w:numId w:val="1"/>
        </w:numPr>
      </w:pPr>
      <w:r>
        <w:t>Virulence Factors</w:t>
      </w:r>
    </w:p>
    <w:p w:rsidR="00E707B7" w:rsidRDefault="00F32CBA" w:rsidP="00344D92">
      <w:pPr>
        <w:pStyle w:val="NoSpacing"/>
        <w:numPr>
          <w:ilvl w:val="1"/>
          <w:numId w:val="1"/>
        </w:numPr>
      </w:pPr>
      <w:r>
        <w:t>Fimbriae: ↑ adherence | Pr</w:t>
      </w:r>
      <w:r w:rsidR="00581C83">
        <w:t>otease: ↑ tissue breakdown</w:t>
      </w:r>
    </w:p>
    <w:p w:rsidR="00581C83" w:rsidRDefault="00581C83" w:rsidP="00344D92">
      <w:pPr>
        <w:pStyle w:val="NoSpacing"/>
        <w:numPr>
          <w:ilvl w:val="1"/>
          <w:numId w:val="1"/>
        </w:numPr>
      </w:pPr>
      <w:r>
        <w:t>Alginate: acts as adhesion to ↓ phagocytosis + antibiotic susceptibility + ↑ biofilm formation</w:t>
      </w:r>
    </w:p>
    <w:p w:rsidR="00581C83" w:rsidRDefault="00581C83" w:rsidP="00344D92">
      <w:pPr>
        <w:pStyle w:val="NoSpacing"/>
        <w:numPr>
          <w:ilvl w:val="1"/>
          <w:numId w:val="1"/>
        </w:numPr>
      </w:pPr>
      <w:r>
        <w:t>Hemolysin | LPS | Pyocyanin: pro-inflammatory</w:t>
      </w:r>
    </w:p>
    <w:p w:rsidR="00581C83" w:rsidRDefault="00581C83" w:rsidP="00344D92">
      <w:pPr>
        <w:pStyle w:val="NoSpacing"/>
        <w:numPr>
          <w:ilvl w:val="1"/>
          <w:numId w:val="1"/>
        </w:numPr>
      </w:pPr>
      <w:r>
        <w:t>Toxins: Exoenzyme S (ADP-ribosylating of variety of proteins)</w:t>
      </w:r>
    </w:p>
    <w:p w:rsidR="00581C83" w:rsidRDefault="00581C83" w:rsidP="00344D92">
      <w:pPr>
        <w:pStyle w:val="NoSpacing"/>
        <w:numPr>
          <w:ilvl w:val="1"/>
          <w:numId w:val="1"/>
        </w:numPr>
      </w:pPr>
      <w:r>
        <w:t xml:space="preserve">              Exotoxin A (ADP-ribosylating of eukaryotic elongation)</w:t>
      </w:r>
    </w:p>
    <w:p w:rsidR="00581C83" w:rsidRDefault="00581C83" w:rsidP="00344D92">
      <w:pPr>
        <w:pStyle w:val="NoSpacing"/>
        <w:numPr>
          <w:ilvl w:val="0"/>
          <w:numId w:val="1"/>
        </w:numPr>
      </w:pPr>
      <w:r>
        <w:t>Pathophysiology</w:t>
      </w:r>
    </w:p>
    <w:p w:rsidR="00581C83" w:rsidRDefault="00581C83" w:rsidP="00344D92">
      <w:pPr>
        <w:pStyle w:val="NoSpacing"/>
        <w:numPr>
          <w:ilvl w:val="1"/>
          <w:numId w:val="1"/>
        </w:numPr>
      </w:pPr>
      <w:r>
        <w:t>Colonization → Chronic: ↑ biofilm mutants | few virulence factors | Immune-med. Damage</w:t>
      </w:r>
    </w:p>
    <w:p w:rsidR="00581C83" w:rsidRDefault="00581C83" w:rsidP="00344D92">
      <w:pPr>
        <w:pStyle w:val="NoSpacing"/>
        <w:numPr>
          <w:ilvl w:val="2"/>
          <w:numId w:val="1"/>
        </w:numPr>
      </w:pPr>
      <w:r>
        <w:t>→ Acute: Quorum sensing →  ↑ Virulence factor | Protease/Toxin Damage tissue</w:t>
      </w:r>
    </w:p>
    <w:p w:rsidR="00581C83" w:rsidRDefault="00581C83" w:rsidP="00344D92">
      <w:pPr>
        <w:pStyle w:val="NoSpacing"/>
        <w:numPr>
          <w:ilvl w:val="0"/>
          <w:numId w:val="1"/>
        </w:numPr>
      </w:pPr>
      <w:r>
        <w:t>Clinical Implication</w:t>
      </w:r>
    </w:p>
    <w:p w:rsidR="00581C83" w:rsidRDefault="00C91A69" w:rsidP="00344D92">
      <w:pPr>
        <w:pStyle w:val="NoSpacing"/>
        <w:numPr>
          <w:ilvl w:val="1"/>
          <w:numId w:val="1"/>
        </w:numPr>
      </w:pPr>
      <w:r>
        <w:t>UTI ← result of catherization</w:t>
      </w:r>
    </w:p>
    <w:p w:rsidR="00C91A69" w:rsidRDefault="00C91A69" w:rsidP="00344D92">
      <w:pPr>
        <w:pStyle w:val="NoSpacing"/>
        <w:numPr>
          <w:ilvl w:val="1"/>
          <w:numId w:val="1"/>
        </w:numPr>
      </w:pPr>
      <w:r>
        <w:t>RTI ← Esp. with CF patients</w:t>
      </w:r>
    </w:p>
    <w:p w:rsidR="00C91A69" w:rsidRDefault="00C91A69" w:rsidP="00344D92">
      <w:pPr>
        <w:pStyle w:val="NoSpacing"/>
        <w:numPr>
          <w:ilvl w:val="1"/>
          <w:numId w:val="1"/>
        </w:numPr>
      </w:pPr>
      <w:r>
        <w:t>Skin Infection ← Esp. in burn wounds</w:t>
      </w:r>
    </w:p>
    <w:p w:rsidR="00C91A69" w:rsidRDefault="00C91A69" w:rsidP="00344D92">
      <w:pPr>
        <w:pStyle w:val="NoSpacing"/>
        <w:numPr>
          <w:ilvl w:val="1"/>
          <w:numId w:val="1"/>
        </w:numPr>
      </w:pPr>
      <w:r>
        <w:t>Bacteremia + Endocarditis ← if disseminated infection (esp. in IVDA)</w:t>
      </w:r>
    </w:p>
    <w:p w:rsidR="00C91A69" w:rsidRDefault="00C91A69" w:rsidP="00344D92">
      <w:pPr>
        <w:pStyle w:val="NoSpacing"/>
        <w:numPr>
          <w:ilvl w:val="1"/>
          <w:numId w:val="1"/>
        </w:numPr>
      </w:pPr>
      <w:r>
        <w:t>Ear Infection ← Ext. otitis + Chronic otitis media + Maligned ext. otitis</w:t>
      </w:r>
    </w:p>
    <w:p w:rsidR="00C91A69" w:rsidRDefault="00C91A69" w:rsidP="00344D92">
      <w:pPr>
        <w:pStyle w:val="NoSpacing"/>
        <w:numPr>
          <w:ilvl w:val="0"/>
          <w:numId w:val="1"/>
        </w:numPr>
      </w:pPr>
      <w:r>
        <w:t>Diagnosis</w:t>
      </w:r>
    </w:p>
    <w:p w:rsidR="00C91A69" w:rsidRDefault="00C91A69" w:rsidP="00344D92">
      <w:pPr>
        <w:pStyle w:val="NoSpacing"/>
        <w:numPr>
          <w:ilvl w:val="1"/>
          <w:numId w:val="1"/>
        </w:numPr>
      </w:pPr>
      <w:r>
        <w:t>1) Pyoverfin – Fluoroscent under UV light (esp. in low-iron content)</w:t>
      </w:r>
    </w:p>
    <w:p w:rsidR="00C91A69" w:rsidRDefault="00C91A69" w:rsidP="00344D92">
      <w:pPr>
        <w:pStyle w:val="NoSpacing"/>
        <w:numPr>
          <w:ilvl w:val="1"/>
          <w:numId w:val="1"/>
        </w:numPr>
      </w:pPr>
      <w:r>
        <w:t xml:space="preserve">     Pyocyanin – “blue-pus” due to suppurative inf.</w:t>
      </w:r>
    </w:p>
    <w:p w:rsidR="00C91A69" w:rsidRDefault="00C91A69" w:rsidP="00344D92">
      <w:pPr>
        <w:pStyle w:val="NoSpacing"/>
        <w:numPr>
          <w:ilvl w:val="1"/>
          <w:numId w:val="1"/>
        </w:numPr>
      </w:pPr>
      <w:r>
        <w:t xml:space="preserve">     Characteristic Fruity Odor</w:t>
      </w:r>
    </w:p>
    <w:p w:rsidR="00C91A69" w:rsidRDefault="00C91A69" w:rsidP="00344D92">
      <w:pPr>
        <w:pStyle w:val="NoSpacing"/>
        <w:numPr>
          <w:ilvl w:val="1"/>
          <w:numId w:val="1"/>
        </w:numPr>
      </w:pPr>
      <w:r>
        <w:t>2) Culture</w:t>
      </w:r>
    </w:p>
    <w:p w:rsidR="00C91A69" w:rsidRDefault="00C91A69" w:rsidP="00344D92">
      <w:pPr>
        <w:pStyle w:val="NoSpacing"/>
        <w:numPr>
          <w:ilvl w:val="1"/>
          <w:numId w:val="1"/>
        </w:numPr>
      </w:pPr>
      <w:r>
        <w:t>3) PCR</w:t>
      </w:r>
    </w:p>
    <w:p w:rsidR="00C91A69" w:rsidRDefault="00A912DE" w:rsidP="00344D92">
      <w:pPr>
        <w:pStyle w:val="NoSpacing"/>
        <w:numPr>
          <w:ilvl w:val="0"/>
          <w:numId w:val="1"/>
        </w:numPr>
      </w:pPr>
      <w:r>
        <w:t>Treatment (Problematic due to ↑ R to antibiotics)</w:t>
      </w:r>
    </w:p>
    <w:p w:rsidR="00A912DE" w:rsidRDefault="00A912DE" w:rsidP="00344D92">
      <w:pPr>
        <w:pStyle w:val="NoSpacing"/>
        <w:numPr>
          <w:ilvl w:val="1"/>
          <w:numId w:val="1"/>
        </w:numPr>
      </w:pPr>
      <w:r>
        <w:t>Fluoroquinolones</w:t>
      </w:r>
    </w:p>
    <w:p w:rsidR="00A912DE" w:rsidRDefault="00A912DE" w:rsidP="00344D92">
      <w:pPr>
        <w:pStyle w:val="NoSpacing"/>
        <w:numPr>
          <w:ilvl w:val="1"/>
          <w:numId w:val="1"/>
        </w:numPr>
      </w:pPr>
      <w:r>
        <w:t>Aminoglycosides</w:t>
      </w:r>
    </w:p>
    <w:p w:rsidR="00A912DE" w:rsidRDefault="00A912DE" w:rsidP="00344D92">
      <w:pPr>
        <w:pStyle w:val="NoSpacing"/>
        <w:numPr>
          <w:ilvl w:val="1"/>
          <w:numId w:val="1"/>
        </w:numPr>
      </w:pPr>
      <w:r>
        <w:t>3</w:t>
      </w:r>
      <w:r w:rsidRPr="00A912DE">
        <w:rPr>
          <w:vertAlign w:val="superscript"/>
        </w:rPr>
        <w:t>rd</w:t>
      </w:r>
      <w:r>
        <w:t xml:space="preserve"> gen </w:t>
      </w:r>
      <w:r>
        <w:rPr>
          <w:rFonts w:cstheme="minorHAnsi"/>
        </w:rPr>
        <w:t>β</w:t>
      </w:r>
      <w:r>
        <w:t>-Lactams (extended spectrum Cephalosporins)</w:t>
      </w:r>
    </w:p>
    <w:p w:rsidR="00A912DE" w:rsidRDefault="00A912DE" w:rsidP="00344D92">
      <w:pPr>
        <w:pStyle w:val="NoSpacing"/>
        <w:numPr>
          <w:ilvl w:val="1"/>
          <w:numId w:val="1"/>
        </w:numPr>
      </w:pPr>
      <w:r>
        <w:t>Vaccine: Yearly polyvalent conj. Vaccine → positive CF patient results</w:t>
      </w:r>
    </w:p>
    <w:p w:rsidR="00791A8D" w:rsidRDefault="00791A8D" w:rsidP="00791A8D">
      <w:pPr>
        <w:pStyle w:val="NoSpacing"/>
      </w:pPr>
    </w:p>
    <w:p w:rsidR="00791A8D" w:rsidRPr="00344D92" w:rsidRDefault="00791A8D" w:rsidP="00791A8D">
      <w:pPr>
        <w:pStyle w:val="NoSpacing"/>
        <w:rPr>
          <w:sz w:val="24"/>
        </w:rPr>
      </w:pPr>
      <w:r w:rsidRPr="00344D92">
        <w:rPr>
          <w:sz w:val="24"/>
        </w:rPr>
        <w:t>Bacteria → Gm+ → Rod → Aerobe → Burkholderia</w:t>
      </w:r>
    </w:p>
    <w:p w:rsidR="00791A8D" w:rsidRDefault="00791A8D" w:rsidP="00791A8D">
      <w:pPr>
        <w:pStyle w:val="NoSpacing"/>
        <w:numPr>
          <w:ilvl w:val="0"/>
          <w:numId w:val="1"/>
        </w:numPr>
      </w:pPr>
      <w:r>
        <w:t>3 human-relevant ones</w:t>
      </w:r>
    </w:p>
    <w:p w:rsidR="00791A8D" w:rsidRDefault="00791A8D" w:rsidP="00791A8D">
      <w:pPr>
        <w:pStyle w:val="NoSpacing"/>
        <w:numPr>
          <w:ilvl w:val="1"/>
          <w:numId w:val="1"/>
        </w:numPr>
      </w:pPr>
      <w:r>
        <w:t>B. mallei → glanders (RTI)</w:t>
      </w:r>
    </w:p>
    <w:p w:rsidR="00791A8D" w:rsidRDefault="00791A8D" w:rsidP="00791A8D">
      <w:pPr>
        <w:pStyle w:val="NoSpacing"/>
        <w:numPr>
          <w:ilvl w:val="1"/>
          <w:numId w:val="1"/>
        </w:numPr>
      </w:pPr>
      <w:r>
        <w:t>B. pseudomallei → mallioidosis (skin injury)</w:t>
      </w:r>
    </w:p>
    <w:p w:rsidR="00791A8D" w:rsidRDefault="00791A8D" w:rsidP="00791A8D">
      <w:pPr>
        <w:pStyle w:val="NoSpacing"/>
        <w:numPr>
          <w:ilvl w:val="1"/>
          <w:numId w:val="1"/>
        </w:numPr>
      </w:pPr>
      <w:r>
        <w:t>B. cepacia</w:t>
      </w:r>
    </w:p>
    <w:p w:rsidR="00791A8D" w:rsidRDefault="00791A8D" w:rsidP="00791A8D">
      <w:pPr>
        <w:pStyle w:val="NoSpacing"/>
        <w:numPr>
          <w:ilvl w:val="2"/>
          <w:numId w:val="1"/>
        </w:numPr>
      </w:pPr>
      <w:r>
        <w:t>↓ UTI | ↓ Septicemia | ↑ Pulmonary Infection, esp. in CF = compared to Pseudomonas</w:t>
      </w:r>
    </w:p>
    <w:p w:rsidR="00791A8D" w:rsidRDefault="00791A8D" w:rsidP="00791A8D">
      <w:pPr>
        <w:pStyle w:val="NoSpacing"/>
        <w:numPr>
          <w:ilvl w:val="2"/>
          <w:numId w:val="1"/>
        </w:numPr>
      </w:pPr>
      <w:r>
        <w:t>T: Trimethoprim-sulfamethoxazole</w:t>
      </w:r>
    </w:p>
    <w:p w:rsidR="00791A8D" w:rsidRDefault="00791A8D" w:rsidP="00A50C0F">
      <w:pPr>
        <w:pStyle w:val="NoSpacing"/>
      </w:pPr>
      <w:bookmarkStart w:id="0" w:name="_GoBack"/>
      <w:bookmarkEnd w:id="0"/>
    </w:p>
    <w:sectPr w:rsidR="00791A8D" w:rsidSect="00F66A79">
      <w:headerReference w:type="default" r:id="rId8"/>
      <w:footerReference w:type="default" r:id="rId9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7682" w:rsidRDefault="003A7682" w:rsidP="00827767">
      <w:pPr>
        <w:spacing w:after="0" w:line="240" w:lineRule="auto"/>
      </w:pPr>
      <w:r>
        <w:separator/>
      </w:r>
    </w:p>
  </w:endnote>
  <w:endnote w:type="continuationSeparator" w:id="0">
    <w:p w:rsidR="003A7682" w:rsidRDefault="003A7682" w:rsidP="008277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4936260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8E705D" w:rsidRDefault="008E705D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A7682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8E705D" w:rsidRDefault="008E705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7682" w:rsidRDefault="003A7682" w:rsidP="00827767">
      <w:pPr>
        <w:spacing w:after="0" w:line="240" w:lineRule="auto"/>
      </w:pPr>
      <w:r>
        <w:separator/>
      </w:r>
    </w:p>
  </w:footnote>
  <w:footnote w:type="continuationSeparator" w:id="0">
    <w:p w:rsidR="003A7682" w:rsidRDefault="003A7682" w:rsidP="008277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7767" w:rsidRDefault="00827767" w:rsidP="00827767">
    <w:pPr>
      <w:pStyle w:val="Header"/>
      <w:jc w:val="right"/>
    </w:pPr>
    <w:r>
      <w:t>Nischal Raya</w:t>
    </w:r>
  </w:p>
  <w:p w:rsidR="00827767" w:rsidRDefault="0082776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9" type="#_x0000_t75" style="width:11.15pt;height:11.15pt" o:bullet="t">
        <v:imagedata r:id="rId1" o:title="msoFD4C"/>
      </v:shape>
    </w:pict>
  </w:numPicBullet>
  <w:abstractNum w:abstractNumId="0">
    <w:nsid w:val="1BEF5CEA"/>
    <w:multiLevelType w:val="hybridMultilevel"/>
    <w:tmpl w:val="3AFE7F64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6A79"/>
    <w:rsid w:val="0014076B"/>
    <w:rsid w:val="00344D92"/>
    <w:rsid w:val="003A7682"/>
    <w:rsid w:val="003F0753"/>
    <w:rsid w:val="00443B07"/>
    <w:rsid w:val="00581C83"/>
    <w:rsid w:val="00791A8D"/>
    <w:rsid w:val="00827767"/>
    <w:rsid w:val="008E705D"/>
    <w:rsid w:val="00A50C0F"/>
    <w:rsid w:val="00A912DE"/>
    <w:rsid w:val="00B60890"/>
    <w:rsid w:val="00C91A69"/>
    <w:rsid w:val="00E707B7"/>
    <w:rsid w:val="00F32CBA"/>
    <w:rsid w:val="00F66A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66A79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82776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27767"/>
  </w:style>
  <w:style w:type="paragraph" w:styleId="Footer">
    <w:name w:val="footer"/>
    <w:basedOn w:val="Normal"/>
    <w:link w:val="FooterChar"/>
    <w:uiPriority w:val="99"/>
    <w:unhideWhenUsed/>
    <w:rsid w:val="0082776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27767"/>
  </w:style>
  <w:style w:type="paragraph" w:styleId="BalloonText">
    <w:name w:val="Balloon Text"/>
    <w:basedOn w:val="Normal"/>
    <w:link w:val="BalloonTextChar"/>
    <w:uiPriority w:val="99"/>
    <w:semiHidden/>
    <w:unhideWhenUsed/>
    <w:rsid w:val="008277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776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66A79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82776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27767"/>
  </w:style>
  <w:style w:type="paragraph" w:styleId="Footer">
    <w:name w:val="footer"/>
    <w:basedOn w:val="Normal"/>
    <w:link w:val="FooterChar"/>
    <w:uiPriority w:val="99"/>
    <w:unhideWhenUsed/>
    <w:rsid w:val="0082776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27767"/>
  </w:style>
  <w:style w:type="paragraph" w:styleId="BalloonText">
    <w:name w:val="Balloon Text"/>
    <w:basedOn w:val="Normal"/>
    <w:link w:val="BalloonTextChar"/>
    <w:uiPriority w:val="99"/>
    <w:semiHidden/>
    <w:unhideWhenUsed/>
    <w:rsid w:val="008277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776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51F1"/>
    <w:rsid w:val="008B1FB3"/>
    <w:rsid w:val="00B25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E507F2CCF7C493DA9584B6529D38DA0">
    <w:name w:val="AE507F2CCF7C493DA9584B6529D38DA0"/>
    <w:rsid w:val="00B251F1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E507F2CCF7C493DA9584B6529D38DA0">
    <w:name w:val="AE507F2CCF7C493DA9584B6529D38DA0"/>
    <w:rsid w:val="00B251F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265</Words>
  <Characters>1514</Characters>
  <Application>Microsoft Office Word</Application>
  <DocSecurity>0</DocSecurity>
  <Lines>12</Lines>
  <Paragraphs>3</Paragraphs>
  <ScaleCrop>false</ScaleCrop>
  <Company/>
  <LinksUpToDate>false</LinksUpToDate>
  <CharactersWithSpaces>1776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Nischal</dc:creator>
  <cp:lastModifiedBy>Nischal</cp:lastModifiedBy>
  <cp:revision>12</cp:revision>
  <dcterms:created xsi:type="dcterms:W3CDTF">2012-09-19T11:48:00Z</dcterms:created>
  <dcterms:modified xsi:type="dcterms:W3CDTF">2012-09-21T14:57:00Z</dcterms:modified>
</cp:coreProperties>
</file>